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Росреестр разъясняет: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изменение вида разрешенного использования земельного участка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Что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такое вид разрешенного использования земельного участка?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Вид разрешенного использования подсказывает как именно можно использовать данный конкретный участок, какие строения на нем можно построить, какую деятельность вести.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Это важно, ведь использовать участок, даже если он находится в частной собственности, можно только в соответствии с его категорией и видом разрешенного использования.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Более того, использование земельного участка не по целевому назначению является основанием для привлечения нарушителя к административной ответственности.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процессе эксплуатации земельного участка у его владельца может возникнуть необходимость изменить его разрешенное использование. Например, вы владеете участком под огородничество. На таком участке строить здания нельзя, поэтому если вы хотите построить на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таком участке жилой дом, нужно менять вид разрешенного использования.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Что для этого нужно сделать?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Прежде всего, важно понимать, что для этого получать разрешение или согласие официальных органов не требуется.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Собственник самостоятельно выбирает новый вид использования из перечня, установленного Правилами землепользования и застройки.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Правила землепользования и застройки - это документ, который утверждает орган местного самоуправления, именно в нем закреплено разрешённое использование земельных участков для каждой конкретной территории.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Таким образом, в качестве первого шага можно обратиться в местную администрацию и запросить информацию из Правил застройки или самостоятельно найти нужные сведения на сайте местной администрации.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Далее нужно убедиться, что разрешенное использование, которое вы хотите выбрать, имеется в Правилах застройки, а также что размеры вашего участка соответствуют требованиям, установленным для нового разрешенного использования.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Следующим шагом будет подача в Росреестр заявления об изменении вида разрешенного использования земельного участка.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Заявление можно подать через МФЦ или в электронном виде в личном кабинете на сайте Росреестра или на портале Госуслуг.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Если у вас остались вопросы по данной теме, их можно задать по бесплатному справочному телефону 8(3022) 35-22-11.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#МФЦ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2025-07-11T06:11:50Z</dcterms:modified>
</cp:coreProperties>
</file>